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A0B" w:rsidRPr="006D5A0B" w:rsidRDefault="006D5A0B" w:rsidP="006D5A0B">
      <w:pPr>
        <w:spacing w:line="240" w:lineRule="auto"/>
        <w:rPr>
          <w:rFonts w:ascii="Times New Roman" w:eastAsia="Times New Roman" w:hAnsi="Times New Roman" w:cs="Times New Roman"/>
          <w:sz w:val="24"/>
          <w:szCs w:val="24"/>
        </w:rPr>
      </w:pPr>
      <w:r>
        <w:rPr>
          <w:rFonts w:ascii="Calibri" w:eastAsia="Times New Roman" w:hAnsi="Calibri" w:cs="Calibri"/>
          <w:b/>
          <w:bCs/>
          <w:color w:val="000000"/>
          <w:sz w:val="28"/>
          <w:szCs w:val="28"/>
        </w:rPr>
        <w:t xml:space="preserve">                                                   </w:t>
      </w:r>
      <w:r w:rsidRPr="006D5A0B">
        <w:rPr>
          <w:rFonts w:ascii="Calibri" w:eastAsia="Times New Roman" w:hAnsi="Calibri" w:cs="Calibri"/>
          <w:b/>
          <w:bCs/>
          <w:color w:val="000000"/>
          <w:sz w:val="28"/>
          <w:szCs w:val="28"/>
        </w:rPr>
        <w:t> ПОЯСНИТЕЛЬНАЯ ЗАПИСКА</w:t>
      </w:r>
    </w:p>
    <w:p w:rsidR="006D5A0B" w:rsidRPr="006D5A0B" w:rsidRDefault="006D5A0B" w:rsidP="006D5A0B">
      <w:pPr>
        <w:spacing w:line="240" w:lineRule="auto"/>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к проекту бюджета Мегрегского сельского поселения  на 2025 год</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keepNext/>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Настоящая пояснительная записка содержит информацию об основных характеристиках проекта местного бюджета на 2025 год, включая сведения о доходах местного бюджета по видам доходов, сведения о расходах бюджета, сведения об источниках финансирования дефицита местного бюджета.</w:t>
      </w:r>
      <w:r w:rsidRPr="006D5A0B">
        <w:rPr>
          <w:rFonts w:ascii="Calibri" w:eastAsia="Times New Roman" w:hAnsi="Calibri" w:cs="Calibri"/>
          <w:color w:val="000000"/>
          <w:sz w:val="28"/>
          <w:szCs w:val="28"/>
          <w:shd w:val="clear" w:color="auto" w:fill="FFFFFF"/>
        </w:rPr>
        <w:t> Бюджет муниципального образования «Мегрегского сельское поселение» на 2025 год формируется сроком на один год.</w:t>
      </w:r>
    </w:p>
    <w:p w:rsidR="006D5A0B" w:rsidRPr="006D5A0B" w:rsidRDefault="006D5A0B" w:rsidP="006D5A0B">
      <w:pPr>
        <w:spacing w:before="100" w:after="10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Default="006D5A0B" w:rsidP="006D5A0B">
      <w:pPr>
        <w:spacing w:before="100" w:after="100" w:line="240" w:lineRule="auto"/>
        <w:ind w:firstLine="567"/>
        <w:jc w:val="center"/>
        <w:rPr>
          <w:rFonts w:ascii="Times New Roman" w:eastAsia="Times New Roman" w:hAnsi="Times New Roman" w:cs="Times New Roman"/>
          <w:b/>
          <w:bCs/>
          <w:color w:val="000000"/>
          <w:sz w:val="28"/>
          <w:szCs w:val="28"/>
        </w:rPr>
      </w:pPr>
      <w:r w:rsidRPr="006D5A0B">
        <w:rPr>
          <w:rFonts w:ascii="Times New Roman" w:eastAsia="Times New Roman" w:hAnsi="Times New Roman" w:cs="Times New Roman"/>
          <w:b/>
          <w:bCs/>
          <w:color w:val="000000"/>
          <w:sz w:val="28"/>
          <w:szCs w:val="28"/>
        </w:rPr>
        <w:t>Общие положения</w:t>
      </w:r>
    </w:p>
    <w:p w:rsidR="006D5A0B" w:rsidRPr="006D5A0B" w:rsidRDefault="006D5A0B" w:rsidP="006D5A0B">
      <w:pPr>
        <w:spacing w:before="100" w:after="100" w:line="240" w:lineRule="auto"/>
        <w:ind w:firstLine="567"/>
        <w:jc w:val="center"/>
        <w:rPr>
          <w:rFonts w:ascii="Times New Roman" w:eastAsia="Times New Roman" w:hAnsi="Times New Roman" w:cs="Times New Roman"/>
          <w:sz w:val="24"/>
          <w:szCs w:val="24"/>
        </w:rPr>
      </w:pPr>
    </w:p>
    <w:p w:rsidR="006D5A0B" w:rsidRPr="006D5A0B" w:rsidRDefault="006D5A0B" w:rsidP="006D5A0B">
      <w:pPr>
        <w:spacing w:before="100" w:after="10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xml:space="preserve">Проект бюджета Мегрегского сельского поселения на очередной финансовый год разработан в соответствии с Бюджетным кодексом Российской Федерации, основными направлениями бюджетной и налоговой политики и основных параметров прогноза социально-экономического развития </w:t>
      </w:r>
      <w:proofErr w:type="spellStart"/>
      <w:r w:rsidRPr="006D5A0B">
        <w:rPr>
          <w:rFonts w:ascii="Times New Roman" w:eastAsia="Times New Roman" w:hAnsi="Times New Roman" w:cs="Times New Roman"/>
          <w:color w:val="000000"/>
          <w:sz w:val="28"/>
          <w:szCs w:val="28"/>
        </w:rPr>
        <w:t>Олонецкого</w:t>
      </w:r>
      <w:proofErr w:type="spellEnd"/>
      <w:r w:rsidRPr="006D5A0B">
        <w:rPr>
          <w:rFonts w:ascii="Times New Roman" w:eastAsia="Times New Roman" w:hAnsi="Times New Roman" w:cs="Times New Roman"/>
          <w:color w:val="000000"/>
          <w:sz w:val="28"/>
          <w:szCs w:val="28"/>
        </w:rPr>
        <w:t xml:space="preserve"> национального муниципального района на очередной год, плана социально-экономического развития Мегрегского сельского поселения, нормативно-правовых актов Мегрегского сельского поселения.</w:t>
      </w:r>
    </w:p>
    <w:p w:rsidR="006D5A0B" w:rsidRPr="006D5A0B" w:rsidRDefault="006D5A0B" w:rsidP="006D5A0B">
      <w:pPr>
        <w:spacing w:before="100" w:after="10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Одним из  основных приоритетов при формировании проекта бюджета на 2025 год явилось безусловное исполнение законодательно установленных публично-нормативных и социально значимых обязательств.</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proofErr w:type="gramStart"/>
      <w:r w:rsidRPr="006D5A0B">
        <w:rPr>
          <w:rFonts w:ascii="Times New Roman" w:eastAsia="Times New Roman" w:hAnsi="Times New Roman" w:cs="Times New Roman"/>
          <w:color w:val="000000"/>
          <w:sz w:val="28"/>
          <w:szCs w:val="28"/>
        </w:rPr>
        <w:t xml:space="preserve">Формирование проекта бюджета Мегрегского сельского поселения на 2025 год по доходам осуществлялось на основе прогноза социально-экономического развития </w:t>
      </w:r>
      <w:proofErr w:type="spellStart"/>
      <w:r w:rsidRPr="006D5A0B">
        <w:rPr>
          <w:rFonts w:ascii="Times New Roman" w:eastAsia="Times New Roman" w:hAnsi="Times New Roman" w:cs="Times New Roman"/>
          <w:color w:val="000000"/>
          <w:sz w:val="28"/>
          <w:szCs w:val="28"/>
        </w:rPr>
        <w:t>Олонецкого</w:t>
      </w:r>
      <w:proofErr w:type="spellEnd"/>
      <w:r w:rsidRPr="006D5A0B">
        <w:rPr>
          <w:rFonts w:ascii="Times New Roman" w:eastAsia="Times New Roman" w:hAnsi="Times New Roman" w:cs="Times New Roman"/>
          <w:color w:val="000000"/>
          <w:sz w:val="28"/>
          <w:szCs w:val="28"/>
        </w:rPr>
        <w:t xml:space="preserve"> национального муниципального района, с учетом  сохранения рисков негативного воздействия внешних условий на экономическую ситуацию и бюджетную систему района, а также  исходя из действующих правовых актов Российской Федерации, Республики Карелия и </w:t>
      </w:r>
      <w:proofErr w:type="spellStart"/>
      <w:r w:rsidRPr="006D5A0B">
        <w:rPr>
          <w:rFonts w:ascii="Times New Roman" w:eastAsia="Times New Roman" w:hAnsi="Times New Roman" w:cs="Times New Roman"/>
          <w:color w:val="000000"/>
          <w:sz w:val="28"/>
          <w:szCs w:val="28"/>
        </w:rPr>
        <w:t>Олонецкого</w:t>
      </w:r>
      <w:proofErr w:type="spellEnd"/>
      <w:r w:rsidRPr="006D5A0B">
        <w:rPr>
          <w:rFonts w:ascii="Times New Roman" w:eastAsia="Times New Roman" w:hAnsi="Times New Roman" w:cs="Times New Roman"/>
          <w:color w:val="000000"/>
          <w:sz w:val="28"/>
          <w:szCs w:val="28"/>
        </w:rPr>
        <w:t xml:space="preserve"> национального муниципального района по налоговым и неналоговым доходам, нормативно-правовых актов Совета</w:t>
      </w:r>
      <w:proofErr w:type="gramEnd"/>
      <w:r w:rsidRPr="006D5A0B">
        <w:rPr>
          <w:rFonts w:ascii="Times New Roman" w:eastAsia="Times New Roman" w:hAnsi="Times New Roman" w:cs="Times New Roman"/>
          <w:color w:val="000000"/>
          <w:sz w:val="28"/>
          <w:szCs w:val="28"/>
        </w:rPr>
        <w:t> Мегрегского сельского поселения</w:t>
      </w:r>
      <w:r w:rsidRPr="006D5A0B">
        <w:rPr>
          <w:rFonts w:ascii="Times New Roman" w:eastAsia="Times New Roman" w:hAnsi="Times New Roman" w:cs="Times New Roman"/>
          <w:color w:val="FF0000"/>
          <w:sz w:val="28"/>
          <w:szCs w:val="28"/>
        </w:rPr>
        <w:t>.</w:t>
      </w:r>
    </w:p>
    <w:p w:rsidR="006D5A0B" w:rsidRPr="006D5A0B" w:rsidRDefault="006D5A0B" w:rsidP="006D5A0B">
      <w:pPr>
        <w:keepNext/>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rPr>
        <w:t xml:space="preserve">. </w:t>
      </w:r>
    </w:p>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 xml:space="preserve">Основные характеристики проекта бюджета </w:t>
      </w:r>
    </w:p>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 Мегрегского сельского поселения на 2025 год</w:t>
      </w:r>
    </w:p>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hd w:val="clear" w:color="auto" w:fill="FFFFFF"/>
        <w:tabs>
          <w:tab w:val="left" w:pos="5684"/>
        </w:tabs>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Основные параметры проекта решения «О бюджете Мегрегского сельского поселения» на 2025 год предлагаются  в соответствии с нижеприведенной таблицей.</w:t>
      </w:r>
    </w:p>
    <w:p w:rsidR="006D5A0B" w:rsidRPr="006D5A0B" w:rsidRDefault="006D5A0B" w:rsidP="006D5A0B">
      <w:pPr>
        <w:shd w:val="clear" w:color="auto" w:fill="FFFFFF"/>
        <w:tabs>
          <w:tab w:val="left" w:pos="5684"/>
        </w:tabs>
        <w:spacing w:line="240" w:lineRule="auto"/>
        <w:ind w:firstLine="567"/>
        <w:jc w:val="right"/>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lastRenderedPageBreak/>
        <w:t>(тыс. руб.)</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51"/>
        <w:gridCol w:w="3940"/>
      </w:tblGrid>
      <w:tr w:rsidR="006D5A0B" w:rsidRPr="006D5A0B" w:rsidTr="006D5A0B">
        <w:trPr>
          <w:tblCellSpacing w:w="0" w:type="dxa"/>
        </w:trPr>
        <w:tc>
          <w:tcPr>
            <w:tcW w:w="5719"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tabs>
                <w:tab w:val="left" w:pos="5684"/>
              </w:tabs>
              <w:spacing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720"/>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Наименование</w:t>
            </w:r>
          </w:p>
        </w:tc>
        <w:tc>
          <w:tcPr>
            <w:tcW w:w="3982"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tabs>
                <w:tab w:val="left" w:pos="5684"/>
              </w:tabs>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Проект бюджета Мегрегского сельского поселения</w:t>
            </w:r>
          </w:p>
          <w:p w:rsidR="006D5A0B" w:rsidRPr="006D5A0B" w:rsidRDefault="006D5A0B" w:rsidP="006D5A0B">
            <w:pPr>
              <w:tabs>
                <w:tab w:val="left" w:pos="5684"/>
              </w:tabs>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2025 год (тыс</w:t>
            </w:r>
            <w:proofErr w:type="gramStart"/>
            <w:r w:rsidRPr="006D5A0B">
              <w:rPr>
                <w:rFonts w:ascii="Calibri" w:eastAsia="Times New Roman" w:hAnsi="Calibri" w:cs="Calibri"/>
                <w:b/>
                <w:bCs/>
                <w:color w:val="000000"/>
                <w:sz w:val="24"/>
                <w:szCs w:val="24"/>
              </w:rPr>
              <w:t>.р</w:t>
            </w:r>
            <w:proofErr w:type="gramEnd"/>
            <w:r w:rsidRPr="006D5A0B">
              <w:rPr>
                <w:rFonts w:ascii="Calibri" w:eastAsia="Times New Roman" w:hAnsi="Calibri" w:cs="Calibri"/>
                <w:b/>
                <w:bCs/>
                <w:color w:val="000000"/>
                <w:sz w:val="24"/>
                <w:szCs w:val="24"/>
              </w:rPr>
              <w:t>уб.)</w:t>
            </w:r>
          </w:p>
        </w:tc>
      </w:tr>
      <w:tr w:rsidR="006D5A0B" w:rsidRPr="006D5A0B" w:rsidTr="006D5A0B">
        <w:trPr>
          <w:tblCellSpacing w:w="0" w:type="dxa"/>
        </w:trPr>
        <w:tc>
          <w:tcPr>
            <w:tcW w:w="5719"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tabs>
                <w:tab w:val="left" w:pos="5684"/>
              </w:tabs>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Доходы</w:t>
            </w:r>
          </w:p>
        </w:tc>
        <w:tc>
          <w:tcPr>
            <w:tcW w:w="3982"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tabs>
                <w:tab w:val="left" w:pos="5684"/>
              </w:tabs>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5 234,80</w:t>
            </w:r>
          </w:p>
        </w:tc>
      </w:tr>
      <w:tr w:rsidR="006D5A0B" w:rsidRPr="006D5A0B" w:rsidTr="006D5A0B">
        <w:trPr>
          <w:tblCellSpacing w:w="0" w:type="dxa"/>
        </w:trPr>
        <w:tc>
          <w:tcPr>
            <w:tcW w:w="5719"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tabs>
                <w:tab w:val="left" w:pos="5684"/>
              </w:tabs>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Расходы</w:t>
            </w:r>
          </w:p>
        </w:tc>
        <w:tc>
          <w:tcPr>
            <w:tcW w:w="3982"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tabs>
                <w:tab w:val="left" w:pos="5684"/>
              </w:tabs>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5 234,80</w:t>
            </w:r>
          </w:p>
        </w:tc>
      </w:tr>
      <w:tr w:rsidR="006D5A0B" w:rsidRPr="006D5A0B" w:rsidTr="006D5A0B">
        <w:trPr>
          <w:tblCellSpacing w:w="0" w:type="dxa"/>
        </w:trPr>
        <w:tc>
          <w:tcPr>
            <w:tcW w:w="5719"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tabs>
                <w:tab w:val="left" w:pos="5684"/>
              </w:tabs>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Дефицит</w:t>
            </w:r>
          </w:p>
        </w:tc>
        <w:tc>
          <w:tcPr>
            <w:tcW w:w="3982"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tabs>
                <w:tab w:val="left" w:pos="5684"/>
              </w:tabs>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r>
    </w:tbl>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Общая сумма доходов на 2025 год 5 234,80 тыс. руб., в том числе налоговые и неналоговые доходы 4 198,50 тыс. руб., безвозмездные поступления  1 036,30 тыс. руб. Общая сумма расходов составляет  5 234,80 тыс. руб.</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Особенности расчетов прогнозируемого поступления платежей в бюджет Мегрегского сельского поселения по доходам</w:t>
      </w:r>
    </w:p>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tabs>
          <w:tab w:val="left" w:pos="3420"/>
        </w:tabs>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В основу расчётов формирования доходов бюджета на 2025 год положены прогнозные показатели главных администраторов доходов бюджета,  прогнозные данные МИФНС №5 по Республике Карелия, ряд других параметров, влияющих на изменение налогооблагаемой базы. Доходная база бюджета рассчитывалась исходя из норм действующего бюджетного и налогового законодательства с учётом соответствующих изменений и дополнений.</w:t>
      </w:r>
    </w:p>
    <w:p w:rsidR="006D5A0B" w:rsidRPr="006D5A0B" w:rsidRDefault="006D5A0B" w:rsidP="006D5A0B">
      <w:pPr>
        <w:tabs>
          <w:tab w:val="left" w:pos="3420"/>
        </w:tabs>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Расходы бюджета Мегрегского сельского поселения определены в пределах прогнозируемых поступлений доходов, в соответствии с прогнозом социально-экономического развития района на 2025 год, плана социально-экономического развития Мегрегского сельского поселения.</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Доходы бюджета на 2025 год</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xml:space="preserve">Доходы бюджета на 2025 год предполагаются в общей сумме 5 234,80 тыс. руб. В структуре доходов проекта бюджета Мегрегского сельского </w:t>
      </w:r>
      <w:r w:rsidRPr="006D5A0B">
        <w:rPr>
          <w:rFonts w:ascii="Calibri" w:eastAsia="Times New Roman" w:hAnsi="Calibri" w:cs="Calibri"/>
          <w:color w:val="000000"/>
          <w:sz w:val="28"/>
          <w:szCs w:val="28"/>
        </w:rPr>
        <w:lastRenderedPageBreak/>
        <w:t>поселения  на 2025 год 80,20 % составляют собственные доходы, 19,80% занимают безвозмездные поступления.</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15"/>
        <w:gridCol w:w="3172"/>
        <w:gridCol w:w="3184"/>
      </w:tblGrid>
      <w:tr w:rsidR="006D5A0B" w:rsidRPr="006D5A0B" w:rsidTr="006D5A0B">
        <w:trPr>
          <w:tblCellSpacing w:w="0" w:type="dxa"/>
        </w:trPr>
        <w:tc>
          <w:tcPr>
            <w:tcW w:w="32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after="0" w:line="240" w:lineRule="auto"/>
              <w:ind w:firstLine="362"/>
              <w:jc w:val="center"/>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Наименование доходов</w:t>
            </w:r>
          </w:p>
        </w:tc>
        <w:tc>
          <w:tcPr>
            <w:tcW w:w="317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tabs>
                <w:tab w:val="left" w:pos="5684"/>
              </w:tabs>
              <w:spacing w:line="240" w:lineRule="auto"/>
              <w:ind w:firstLine="336"/>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Проект бюджета на 2025 год, тыс. руб.</w:t>
            </w:r>
          </w:p>
        </w:tc>
        <w:tc>
          <w:tcPr>
            <w:tcW w:w="31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after="0" w:line="240" w:lineRule="auto"/>
              <w:ind w:firstLine="310"/>
              <w:jc w:val="center"/>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Удельный вес, %</w:t>
            </w:r>
          </w:p>
        </w:tc>
      </w:tr>
      <w:tr w:rsidR="006D5A0B" w:rsidRPr="006D5A0B" w:rsidTr="006D5A0B">
        <w:trPr>
          <w:tblCellSpacing w:w="0" w:type="dxa"/>
        </w:trPr>
        <w:tc>
          <w:tcPr>
            <w:tcW w:w="32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after="0"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4"/>
                <w:szCs w:val="24"/>
              </w:rPr>
              <w:t>Налоговые и неналоговые доходы</w:t>
            </w:r>
          </w:p>
        </w:tc>
        <w:tc>
          <w:tcPr>
            <w:tcW w:w="317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4 198,50</w:t>
            </w:r>
          </w:p>
        </w:tc>
        <w:tc>
          <w:tcPr>
            <w:tcW w:w="31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80,20</w:t>
            </w:r>
          </w:p>
        </w:tc>
      </w:tr>
      <w:tr w:rsidR="006D5A0B" w:rsidRPr="006D5A0B" w:rsidTr="006D5A0B">
        <w:trPr>
          <w:trHeight w:val="400"/>
          <w:tblCellSpacing w:w="0" w:type="dxa"/>
        </w:trPr>
        <w:tc>
          <w:tcPr>
            <w:tcW w:w="32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after="0"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4"/>
                <w:szCs w:val="24"/>
              </w:rPr>
              <w:t>Безвозмездные поступления из бюджетов других уровней</w:t>
            </w:r>
          </w:p>
        </w:tc>
        <w:tc>
          <w:tcPr>
            <w:tcW w:w="317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1036,30</w:t>
            </w:r>
          </w:p>
        </w:tc>
        <w:tc>
          <w:tcPr>
            <w:tcW w:w="31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19,80</w:t>
            </w:r>
          </w:p>
        </w:tc>
      </w:tr>
      <w:tr w:rsidR="006D5A0B" w:rsidRPr="006D5A0B" w:rsidTr="006D5A0B">
        <w:trPr>
          <w:tblCellSpacing w:w="0" w:type="dxa"/>
        </w:trPr>
        <w:tc>
          <w:tcPr>
            <w:tcW w:w="321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4"/>
                <w:szCs w:val="24"/>
              </w:rPr>
              <w:t>Итого</w:t>
            </w:r>
          </w:p>
        </w:tc>
        <w:tc>
          <w:tcPr>
            <w:tcW w:w="317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4"/>
                <w:szCs w:val="24"/>
              </w:rPr>
              <w:t>5 234,80</w:t>
            </w:r>
          </w:p>
        </w:tc>
        <w:tc>
          <w:tcPr>
            <w:tcW w:w="318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4"/>
                <w:szCs w:val="24"/>
              </w:rPr>
              <w:t>100</w:t>
            </w:r>
          </w:p>
        </w:tc>
      </w:tr>
    </w:tbl>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jc w:val="both"/>
        <w:rPr>
          <w:rFonts w:ascii="Times New Roman" w:eastAsia="Times New Roman" w:hAnsi="Times New Roman" w:cs="Times New Roman"/>
          <w:sz w:val="24"/>
          <w:szCs w:val="24"/>
        </w:rPr>
      </w:pP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Прогноз поступления налоговых и неналоговых доходов</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в 2025 году</w:t>
      </w:r>
    </w:p>
    <w:p w:rsidR="006D5A0B" w:rsidRPr="006D5A0B" w:rsidRDefault="006D5A0B" w:rsidP="006D5A0B">
      <w:pPr>
        <w:spacing w:line="240" w:lineRule="auto"/>
        <w:ind w:firstLine="567"/>
        <w:jc w:val="right"/>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(тыс. руб.)</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04"/>
        <w:gridCol w:w="1658"/>
        <w:gridCol w:w="1662"/>
        <w:gridCol w:w="1567"/>
      </w:tblGrid>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before="120" w:after="120"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 xml:space="preserve">Наименование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before="120" w:after="120" w:line="240" w:lineRule="auto"/>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2024 год</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before="120" w:after="120" w:line="240" w:lineRule="auto"/>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2025 год прогноз</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before="120" w:after="120" w:line="240" w:lineRule="auto"/>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Отклонение</w:t>
            </w:r>
          </w:p>
        </w:tc>
      </w:tr>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НАЛОГОВЫЕ И НЕНАЛОГОВЫЕ ДОХОДЫ - всего</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3 889,40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4 198,50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         +309,10</w:t>
            </w:r>
          </w:p>
        </w:tc>
      </w:tr>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Налог на доходы физических лиц</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491,00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533,00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+42,00</w:t>
            </w:r>
          </w:p>
        </w:tc>
      </w:tr>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Единый сельхозналог</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r>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Доходы от использования имущества, находящегося в муниципальной  собственности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129,00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129,00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r>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Доходы, поступающие в порядке возмещения расходов, понесенных в связи с эксплуатацией имущества сельских поселений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362,00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432,90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+70,90</w:t>
            </w:r>
          </w:p>
        </w:tc>
      </w:tr>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Налоги на имущество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593,00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496,00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-97,00</w:t>
            </w:r>
          </w:p>
        </w:tc>
      </w:tr>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Акцизы</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2182,40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2511,60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          +329,20</w:t>
            </w:r>
          </w:p>
        </w:tc>
      </w:tr>
      <w:tr w:rsidR="006D5A0B" w:rsidRPr="006D5A0B" w:rsidTr="006D5A0B">
        <w:trPr>
          <w:tblCellSpacing w:w="0" w:type="dxa"/>
        </w:trPr>
        <w:tc>
          <w:tcPr>
            <w:tcW w:w="47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Прочие неналоговые доходы</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132,00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96,00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-36,00</w:t>
            </w:r>
          </w:p>
        </w:tc>
      </w:tr>
    </w:tbl>
    <w:p w:rsidR="006D5A0B" w:rsidRPr="006D5A0B" w:rsidRDefault="006D5A0B" w:rsidP="006D5A0B">
      <w:pPr>
        <w:shd w:val="clear" w:color="auto" w:fill="FFFFFF"/>
        <w:spacing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lastRenderedPageBreak/>
        <w:t>В структуре собственных доходов на акцизы приходится – 59,82 %, налог на имущество – 9,54 %, НДФЛ – 12,69 %. Существенных изменений в поступлении налоговых и неналоговых доходов в бюджет поселения в 2025 году в сравнении с 2024 г. не наблюдается.</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keepNext/>
        <w:tabs>
          <w:tab w:val="left" w:pos="2008"/>
        </w:tabs>
        <w:spacing w:after="0" w:line="240" w:lineRule="auto"/>
        <w:ind w:left="568"/>
        <w:outlineLvl w:val="0"/>
        <w:rPr>
          <w:rFonts w:ascii="Times New Roman" w:eastAsia="Times New Roman" w:hAnsi="Times New Roman" w:cs="Times New Roman"/>
          <w:b/>
          <w:bCs/>
          <w:kern w:val="36"/>
          <w:sz w:val="48"/>
          <w:szCs w:val="48"/>
        </w:rPr>
      </w:pPr>
      <w:r w:rsidRPr="006D5A0B">
        <w:rPr>
          <w:rFonts w:ascii="Times New Roman" w:eastAsia="Times New Roman" w:hAnsi="Times New Roman" w:cs="Times New Roman"/>
          <w:b/>
          <w:bCs/>
          <w:color w:val="000000"/>
          <w:kern w:val="36"/>
          <w:sz w:val="28"/>
          <w:szCs w:val="28"/>
          <w:u w:val="single"/>
        </w:rPr>
        <w:t>Налог на доходы физических лиц</w:t>
      </w:r>
    </w:p>
    <w:p w:rsidR="006D5A0B" w:rsidRPr="006D5A0B" w:rsidRDefault="006D5A0B" w:rsidP="006D5A0B">
      <w:pPr>
        <w:spacing w:after="0" w:line="240" w:lineRule="auto"/>
        <w:ind w:firstLine="709"/>
        <w:jc w:val="both"/>
        <w:rPr>
          <w:rFonts w:ascii="Times New Roman" w:eastAsia="Times New Roman" w:hAnsi="Times New Roman" w:cs="Times New Roman"/>
          <w:sz w:val="24"/>
          <w:szCs w:val="24"/>
        </w:rPr>
      </w:pPr>
      <w:proofErr w:type="gramStart"/>
      <w:r w:rsidRPr="006D5A0B">
        <w:rPr>
          <w:rFonts w:ascii="Times New Roman" w:eastAsia="Times New Roman" w:hAnsi="Times New Roman" w:cs="Times New Roman"/>
          <w:color w:val="000000"/>
          <w:sz w:val="28"/>
          <w:szCs w:val="28"/>
        </w:rPr>
        <w:t>Прогноз налога на доходы физических лиц на 2025 год определен исходя из прогнозируемого Министерством экономического развития Республики Карелия фонда заработной платы, прогнозируемого объема налоговой базы и ставок налога, установленных Налоговым кодексом Российской Федерации.</w:t>
      </w:r>
      <w:proofErr w:type="gramEnd"/>
      <w:r w:rsidRPr="006D5A0B">
        <w:rPr>
          <w:rFonts w:ascii="Times New Roman" w:eastAsia="Times New Roman" w:hAnsi="Times New Roman" w:cs="Times New Roman"/>
          <w:color w:val="000000"/>
          <w:sz w:val="28"/>
          <w:szCs w:val="28"/>
        </w:rPr>
        <w:t xml:space="preserve">  Поступления в бюджет налога на доходы физических лиц на 2025 год прогнозируется исходя из его ожидаемого исполнения за 2024 год, в размере 2 % от суммы поступлений в консолидированный бюджет </w:t>
      </w:r>
      <w:proofErr w:type="spellStart"/>
      <w:r w:rsidRPr="006D5A0B">
        <w:rPr>
          <w:rFonts w:ascii="Times New Roman" w:eastAsia="Times New Roman" w:hAnsi="Times New Roman" w:cs="Times New Roman"/>
          <w:color w:val="000000"/>
          <w:sz w:val="28"/>
          <w:szCs w:val="28"/>
        </w:rPr>
        <w:t>Олонецкого</w:t>
      </w:r>
      <w:proofErr w:type="spellEnd"/>
      <w:r w:rsidRPr="006D5A0B">
        <w:rPr>
          <w:rFonts w:ascii="Times New Roman" w:eastAsia="Times New Roman" w:hAnsi="Times New Roman" w:cs="Times New Roman"/>
          <w:color w:val="000000"/>
          <w:sz w:val="28"/>
          <w:szCs w:val="28"/>
        </w:rPr>
        <w:t xml:space="preserve"> района. Объем поступлений налога на доходы физических лиц прогнозируется в сумме    533,00 тыс. рублей. </w:t>
      </w:r>
    </w:p>
    <w:p w:rsidR="006D5A0B" w:rsidRPr="006D5A0B" w:rsidRDefault="006D5A0B" w:rsidP="006D5A0B">
      <w:pPr>
        <w:spacing w:line="240" w:lineRule="auto"/>
        <w:ind w:firstLine="720"/>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xml:space="preserve">Наиболее крупными плательщиками налога на доходы физических лиц в </w:t>
      </w:r>
      <w:proofErr w:type="spellStart"/>
      <w:r w:rsidRPr="006D5A0B">
        <w:rPr>
          <w:rFonts w:ascii="Calibri" w:eastAsia="Times New Roman" w:hAnsi="Calibri" w:cs="Calibri"/>
          <w:color w:val="000000"/>
          <w:sz w:val="28"/>
          <w:szCs w:val="28"/>
        </w:rPr>
        <w:t>Мегрегском</w:t>
      </w:r>
      <w:proofErr w:type="spellEnd"/>
      <w:r w:rsidRPr="006D5A0B">
        <w:rPr>
          <w:rFonts w:ascii="Calibri" w:eastAsia="Times New Roman" w:hAnsi="Calibri" w:cs="Calibri"/>
          <w:color w:val="000000"/>
          <w:sz w:val="28"/>
          <w:szCs w:val="28"/>
        </w:rPr>
        <w:t xml:space="preserve"> сельском поселении являются </w:t>
      </w:r>
      <w:proofErr w:type="spellStart"/>
      <w:r w:rsidRPr="006D5A0B">
        <w:rPr>
          <w:rFonts w:ascii="Calibri" w:eastAsia="Times New Roman" w:hAnsi="Calibri" w:cs="Calibri"/>
          <w:color w:val="000000"/>
          <w:sz w:val="28"/>
          <w:szCs w:val="28"/>
        </w:rPr>
        <w:t>бюджетообразующие</w:t>
      </w:r>
      <w:proofErr w:type="spellEnd"/>
      <w:r w:rsidRPr="006D5A0B">
        <w:rPr>
          <w:rFonts w:ascii="Calibri" w:eastAsia="Times New Roman" w:hAnsi="Calibri" w:cs="Calibri"/>
          <w:color w:val="000000"/>
          <w:sz w:val="28"/>
          <w:szCs w:val="28"/>
        </w:rPr>
        <w:t xml:space="preserve"> предприятия, такие как АО «</w:t>
      </w:r>
      <w:proofErr w:type="spellStart"/>
      <w:r w:rsidRPr="006D5A0B">
        <w:rPr>
          <w:rFonts w:ascii="Calibri" w:eastAsia="Times New Roman" w:hAnsi="Calibri" w:cs="Calibri"/>
          <w:color w:val="000000"/>
          <w:sz w:val="28"/>
          <w:szCs w:val="28"/>
        </w:rPr>
        <w:t>Племсовхоз</w:t>
      </w:r>
      <w:proofErr w:type="spellEnd"/>
      <w:r w:rsidRPr="006D5A0B">
        <w:rPr>
          <w:rFonts w:ascii="Calibri" w:eastAsia="Times New Roman" w:hAnsi="Calibri" w:cs="Calibri"/>
          <w:color w:val="000000"/>
          <w:sz w:val="28"/>
          <w:szCs w:val="28"/>
        </w:rPr>
        <w:t xml:space="preserve"> «Мегрега», МБУ «</w:t>
      </w:r>
      <w:proofErr w:type="spellStart"/>
      <w:r w:rsidRPr="006D5A0B">
        <w:rPr>
          <w:rFonts w:ascii="Calibri" w:eastAsia="Times New Roman" w:hAnsi="Calibri" w:cs="Calibri"/>
          <w:color w:val="000000"/>
          <w:sz w:val="28"/>
          <w:szCs w:val="28"/>
        </w:rPr>
        <w:t>Мегрегский</w:t>
      </w:r>
      <w:proofErr w:type="spellEnd"/>
      <w:r w:rsidRPr="006D5A0B">
        <w:rPr>
          <w:rFonts w:ascii="Calibri" w:eastAsia="Times New Roman" w:hAnsi="Calibri" w:cs="Calibri"/>
          <w:color w:val="000000"/>
          <w:sz w:val="28"/>
          <w:szCs w:val="28"/>
        </w:rPr>
        <w:t xml:space="preserve"> сельский Дом Культуры», МКОУ «</w:t>
      </w:r>
      <w:proofErr w:type="spellStart"/>
      <w:r w:rsidRPr="006D5A0B">
        <w:rPr>
          <w:rFonts w:ascii="Calibri" w:eastAsia="Times New Roman" w:hAnsi="Calibri" w:cs="Calibri"/>
          <w:color w:val="000000"/>
          <w:sz w:val="28"/>
          <w:szCs w:val="28"/>
        </w:rPr>
        <w:t>Мегрегская</w:t>
      </w:r>
      <w:proofErr w:type="spellEnd"/>
      <w:r w:rsidRPr="006D5A0B">
        <w:rPr>
          <w:rFonts w:ascii="Calibri" w:eastAsia="Times New Roman" w:hAnsi="Calibri" w:cs="Calibri"/>
          <w:color w:val="000000"/>
          <w:sz w:val="28"/>
          <w:szCs w:val="28"/>
        </w:rPr>
        <w:t xml:space="preserve"> ООШ».</w:t>
      </w:r>
    </w:p>
    <w:p w:rsidR="006D5A0B" w:rsidRPr="006D5A0B" w:rsidRDefault="006D5A0B" w:rsidP="006D5A0B">
      <w:pPr>
        <w:spacing w:after="0"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u w:val="single"/>
        </w:rPr>
        <w:t>Единый сельскохозяйственный налог</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ab/>
        <w:t xml:space="preserve">Прогноз поступления единого сельскохозяйственного налога  на 2023 год в бюджет всех уровней рассчитан на основании данных МИФНС №5 по РК. </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u w:val="single"/>
        </w:rPr>
        <w:t>Налоги на имущество</w:t>
      </w:r>
    </w:p>
    <w:p w:rsidR="006D5A0B" w:rsidRPr="006D5A0B" w:rsidRDefault="006D5A0B" w:rsidP="006D5A0B">
      <w:pPr>
        <w:spacing w:line="240" w:lineRule="auto"/>
        <w:ind w:firstLine="708"/>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Расчёт подготовлен исходя из прогноза объёма налогооблагаемой базы по прогнозным данным МИФНС №5 по Республике Карелия.</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Налог  на имущество физических лиц</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Поступления налога на имущество физических лиц в бюджет на 2025 год прогнозируется в сумме 125,00 тыс. руб., что на 22 тыс. руб. больше уточнённых показателей на 2024 год (103,00 тыс. руб.</w:t>
      </w:r>
      <w:proofErr w:type="gramStart"/>
      <w:r w:rsidRPr="006D5A0B">
        <w:rPr>
          <w:rFonts w:ascii="Calibri" w:eastAsia="Times New Roman" w:hAnsi="Calibri" w:cs="Calibri"/>
          <w:color w:val="000000"/>
          <w:sz w:val="28"/>
          <w:szCs w:val="28"/>
        </w:rPr>
        <w:t xml:space="preserve"> )</w:t>
      </w:r>
      <w:proofErr w:type="gramEnd"/>
      <w:r w:rsidRPr="006D5A0B">
        <w:rPr>
          <w:rFonts w:ascii="Calibri" w:eastAsia="Times New Roman" w:hAnsi="Calibri" w:cs="Calibri"/>
          <w:color w:val="000000"/>
          <w:sz w:val="28"/>
          <w:szCs w:val="28"/>
        </w:rPr>
        <w:t>.</w:t>
      </w:r>
    </w:p>
    <w:p w:rsidR="006D5A0B" w:rsidRPr="006D5A0B" w:rsidRDefault="006D5A0B" w:rsidP="006D5A0B">
      <w:pPr>
        <w:spacing w:after="0" w:line="240" w:lineRule="auto"/>
        <w:ind w:firstLine="709"/>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Оценка налогового потенциала по налогу на имущество физических лиц на 2025 производится исходя из  кадастровой стоимости</w:t>
      </w:r>
      <w:r w:rsidRPr="006D5A0B">
        <w:rPr>
          <w:rFonts w:ascii="Times New Roman" w:eastAsia="Times New Roman" w:hAnsi="Times New Roman" w:cs="Times New Roman"/>
          <w:color w:val="000000"/>
          <w:sz w:val="24"/>
          <w:szCs w:val="24"/>
        </w:rPr>
        <w:t> </w:t>
      </w:r>
      <w:r w:rsidRPr="006D5A0B">
        <w:rPr>
          <w:rFonts w:ascii="Times New Roman" w:eastAsia="Times New Roman" w:hAnsi="Times New Roman" w:cs="Times New Roman"/>
          <w:color w:val="000000"/>
          <w:sz w:val="28"/>
          <w:szCs w:val="28"/>
        </w:rPr>
        <w:t>объектов налогообложения, в соответствии с установленными налоговыми ставками и льготами на 2025 год законодательством Российской Федерации. Местные льготы  по налогу на имущество физических лиц не установлены.</w:t>
      </w:r>
    </w:p>
    <w:p w:rsidR="006D5A0B" w:rsidRPr="006D5A0B" w:rsidRDefault="006D5A0B" w:rsidP="006D5A0B">
      <w:pPr>
        <w:spacing w:line="240" w:lineRule="auto"/>
        <w:ind w:firstLine="708"/>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Земельный налог</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lastRenderedPageBreak/>
        <w:t>Прогнозные показатели поступлений земельного налога на 2025 год  371,00 тыс. руб., что составляет 75,71 % к уточнённому бюджетному назначению на 2024 год (490,00 тыс. руб.</w:t>
      </w:r>
      <w:proofErr w:type="gramStart"/>
      <w:r w:rsidRPr="006D5A0B">
        <w:rPr>
          <w:rFonts w:ascii="Calibri" w:eastAsia="Times New Roman" w:hAnsi="Calibri" w:cs="Calibri"/>
          <w:color w:val="000000"/>
          <w:sz w:val="28"/>
          <w:szCs w:val="28"/>
        </w:rPr>
        <w:t xml:space="preserve"> )</w:t>
      </w:r>
      <w:proofErr w:type="gramEnd"/>
      <w:r w:rsidRPr="006D5A0B">
        <w:rPr>
          <w:rFonts w:ascii="Calibri" w:eastAsia="Times New Roman" w:hAnsi="Calibri" w:cs="Calibri"/>
          <w:color w:val="000000"/>
          <w:sz w:val="28"/>
          <w:szCs w:val="28"/>
        </w:rPr>
        <w:t>.</w:t>
      </w:r>
    </w:p>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xml:space="preserve">         При расчете оценки налогового потенциала по земельному налогу применялись:  общая кадастровая стоимость земельных участков; ставка земельного налога; налоговые льготы, установленные решением Совета </w:t>
      </w:r>
      <w:proofErr w:type="spellStart"/>
      <w:r w:rsidRPr="006D5A0B">
        <w:rPr>
          <w:rFonts w:ascii="Calibri" w:eastAsia="Times New Roman" w:hAnsi="Calibri" w:cs="Calibri"/>
          <w:color w:val="000000"/>
          <w:sz w:val="28"/>
          <w:szCs w:val="28"/>
        </w:rPr>
        <w:t>Мегрегчкого</w:t>
      </w:r>
      <w:proofErr w:type="spellEnd"/>
      <w:r w:rsidRPr="006D5A0B">
        <w:rPr>
          <w:rFonts w:ascii="Calibri" w:eastAsia="Times New Roman" w:hAnsi="Calibri" w:cs="Calibri"/>
          <w:color w:val="000000"/>
          <w:sz w:val="28"/>
          <w:szCs w:val="28"/>
        </w:rPr>
        <w:t xml:space="preserve"> сельского поселения.  </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u w:val="single"/>
        </w:rPr>
        <w:t>Неналоговые доходы</w:t>
      </w:r>
    </w:p>
    <w:p w:rsidR="006D5A0B" w:rsidRPr="006D5A0B" w:rsidRDefault="006D5A0B" w:rsidP="006D5A0B">
      <w:pPr>
        <w:spacing w:after="0"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Доходы от использования имущества, находящегося в муниципальной собственности Мегрегского сельского поселения на 2025 год прогнозируется в сумме 96,00 тыс. руб.</w:t>
      </w:r>
    </w:p>
    <w:p w:rsidR="006D5A0B" w:rsidRPr="006D5A0B" w:rsidRDefault="006D5A0B" w:rsidP="006D5A0B">
      <w:pPr>
        <w:spacing w:after="0" w:line="240" w:lineRule="auto"/>
        <w:ind w:firstLine="709"/>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Прогноз доходов по данному источнику определен на основании данных администрации Мегрегского сельского поселения и учтены следующие доходные источники:</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-прочие доходы, поступающие в порядке возмещения расходов, понесенных в связи с  использованием имущества – 96,00 тыс. руб.</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-доходов от сдачи в аренду имущества, находящегося в муниципальной собственности в 2025 г. не планируется.</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 xml:space="preserve">Безвозмездные поступления из бюджетов других уровней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В составе доходов местного бюджета предусматриваются безвозмездные поступления, в том числе из бюджетов других уровней.</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 xml:space="preserve">                                                                                               </w:t>
      </w:r>
    </w:p>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                                                                                                                               тыс. рублей</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1"/>
        <w:gridCol w:w="2453"/>
      </w:tblGrid>
      <w:tr w:rsidR="006D5A0B" w:rsidRPr="006D5A0B" w:rsidTr="006D5A0B">
        <w:trPr>
          <w:trHeight w:val="369"/>
          <w:tblCellSpacing w:w="0" w:type="dxa"/>
        </w:trPr>
        <w:tc>
          <w:tcPr>
            <w:tcW w:w="3761"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Наименование показателя</w:t>
            </w:r>
          </w:p>
        </w:tc>
        <w:tc>
          <w:tcPr>
            <w:tcW w:w="2453"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4"/>
                <w:szCs w:val="24"/>
              </w:rPr>
              <w:t>Проект бюджета на 2025 год</w:t>
            </w:r>
          </w:p>
        </w:tc>
      </w:tr>
      <w:tr w:rsidR="006D5A0B" w:rsidRPr="006D5A0B" w:rsidTr="006D5A0B">
        <w:trPr>
          <w:tblCellSpacing w:w="0" w:type="dxa"/>
        </w:trPr>
        <w:tc>
          <w:tcPr>
            <w:tcW w:w="3761"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Безвозмездные поступления от других бюджетов бюджетной системы Российской Федерации, всего:</w:t>
            </w:r>
          </w:p>
        </w:tc>
        <w:tc>
          <w:tcPr>
            <w:tcW w:w="2453"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1 036,30</w:t>
            </w:r>
          </w:p>
        </w:tc>
      </w:tr>
      <w:tr w:rsidR="006D5A0B" w:rsidRPr="006D5A0B" w:rsidTr="006D5A0B">
        <w:trPr>
          <w:tblCellSpacing w:w="0" w:type="dxa"/>
        </w:trPr>
        <w:tc>
          <w:tcPr>
            <w:tcW w:w="3761"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-дотации на выравнивание бюджетной обеспеченности</w:t>
            </w:r>
          </w:p>
        </w:tc>
        <w:tc>
          <w:tcPr>
            <w:tcW w:w="2453"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819,00</w:t>
            </w:r>
          </w:p>
        </w:tc>
      </w:tr>
      <w:tr w:rsidR="006D5A0B" w:rsidRPr="006D5A0B" w:rsidTr="006D5A0B">
        <w:trPr>
          <w:tblCellSpacing w:w="0" w:type="dxa"/>
        </w:trPr>
        <w:tc>
          <w:tcPr>
            <w:tcW w:w="3761"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-субсидии</w:t>
            </w:r>
          </w:p>
        </w:tc>
        <w:tc>
          <w:tcPr>
            <w:tcW w:w="2453"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r>
      <w:tr w:rsidR="006D5A0B" w:rsidRPr="006D5A0B" w:rsidTr="006D5A0B">
        <w:trPr>
          <w:tblCellSpacing w:w="0" w:type="dxa"/>
        </w:trPr>
        <w:tc>
          <w:tcPr>
            <w:tcW w:w="3761"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-субвенции</w:t>
            </w:r>
          </w:p>
        </w:tc>
        <w:tc>
          <w:tcPr>
            <w:tcW w:w="2453"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217,30</w:t>
            </w:r>
          </w:p>
        </w:tc>
      </w:tr>
      <w:tr w:rsidR="006D5A0B" w:rsidRPr="006D5A0B" w:rsidTr="006D5A0B">
        <w:trPr>
          <w:trHeight w:val="275"/>
          <w:tblCellSpacing w:w="0" w:type="dxa"/>
        </w:trPr>
        <w:tc>
          <w:tcPr>
            <w:tcW w:w="3761"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-иные межбюджетные трансферты</w:t>
            </w:r>
          </w:p>
        </w:tc>
        <w:tc>
          <w:tcPr>
            <w:tcW w:w="2453" w:type="dxa"/>
            <w:tcBorders>
              <w:top w:val="single" w:sz="4" w:space="0" w:color="000000"/>
              <w:left w:val="single" w:sz="4" w:space="0" w:color="000000"/>
              <w:bottom w:val="single" w:sz="4" w:space="0" w:color="000000"/>
              <w:right w:val="single" w:sz="4" w:space="0" w:color="000000"/>
            </w:tcBorders>
            <w:vAlign w:val="center"/>
            <w:hideMark/>
          </w:tcPr>
          <w:p w:rsidR="006D5A0B" w:rsidRPr="006D5A0B" w:rsidRDefault="006D5A0B" w:rsidP="006D5A0B">
            <w:pPr>
              <w:spacing w:line="240" w:lineRule="auto"/>
              <w:ind w:firstLine="567"/>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r>
    </w:tbl>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4"/>
          <w:szCs w:val="24"/>
        </w:rPr>
        <w:lastRenderedPageBreak/>
        <w:t>           </w:t>
      </w:r>
      <w:r w:rsidRPr="006D5A0B">
        <w:rPr>
          <w:rFonts w:ascii="Times New Roman" w:eastAsia="Times New Roman" w:hAnsi="Times New Roman" w:cs="Times New Roman"/>
          <w:b/>
          <w:bCs/>
          <w:color w:val="000000"/>
          <w:sz w:val="24"/>
          <w:szCs w:val="24"/>
        </w:rPr>
        <w:t>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xml:space="preserve">Расчет дотации на выравнивание бюджетной обеспеченности произведен Администрацией </w:t>
      </w:r>
      <w:proofErr w:type="spellStart"/>
      <w:r w:rsidRPr="006D5A0B">
        <w:rPr>
          <w:rFonts w:ascii="Calibri" w:eastAsia="Times New Roman" w:hAnsi="Calibri" w:cs="Calibri"/>
          <w:color w:val="000000"/>
          <w:sz w:val="28"/>
          <w:szCs w:val="28"/>
        </w:rPr>
        <w:t>Олонецкого</w:t>
      </w:r>
      <w:proofErr w:type="spellEnd"/>
      <w:r w:rsidRPr="006D5A0B">
        <w:rPr>
          <w:rFonts w:ascii="Calibri" w:eastAsia="Times New Roman" w:hAnsi="Calibri" w:cs="Calibri"/>
          <w:color w:val="000000"/>
          <w:sz w:val="28"/>
          <w:szCs w:val="28"/>
        </w:rPr>
        <w:t xml:space="preserve"> национального муниципального района, основан на выравнивании  среднедушевых доходов территорий с учетом объективных различий в стоимости оказываемых муниципальными образованиями бюджетных услуг.</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xml:space="preserve">Прогнозные доходы местного бюджета на 2025 год определены на основе оценки налоговых и неналоговых поступлений исходя из прогноза социально-экономического развития Республики Карелия и предусмотренных проектом Закона нормативов  отчислений  от налоговых и неналоговых доходов.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xml:space="preserve">Выравнивание произведено в пределах общего объема средств, передаваемых местным бюджетам, для пропорционального сокращения разрыва </w:t>
      </w:r>
      <w:proofErr w:type="spellStart"/>
      <w:r w:rsidRPr="006D5A0B">
        <w:rPr>
          <w:rFonts w:ascii="Calibri" w:eastAsia="Times New Roman" w:hAnsi="Calibri" w:cs="Calibri"/>
          <w:color w:val="000000"/>
          <w:sz w:val="28"/>
          <w:szCs w:val="28"/>
        </w:rPr>
        <w:t>подушевой</w:t>
      </w:r>
      <w:proofErr w:type="spellEnd"/>
      <w:r w:rsidRPr="006D5A0B">
        <w:rPr>
          <w:rFonts w:ascii="Calibri" w:eastAsia="Times New Roman" w:hAnsi="Calibri" w:cs="Calibri"/>
          <w:color w:val="000000"/>
          <w:sz w:val="28"/>
          <w:szCs w:val="28"/>
        </w:rPr>
        <w:t xml:space="preserve"> бюджетной обеспеченности муниципальных образований.</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Субсидия на реализацию мероприятий по формированию комфортной городской среды прогнозируется в сумме 0,00 тыс. руб.</w:t>
      </w:r>
    </w:p>
    <w:p w:rsidR="006D5A0B" w:rsidRPr="006D5A0B" w:rsidRDefault="006D5A0B" w:rsidP="006D5A0B">
      <w:pPr>
        <w:spacing w:before="120" w:after="0"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Субвенции включают средства, необходимые для финансового обеспечения передаваемых обязательств Российской Федерации субъектам Российской Федерации, а именно:</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субвенция бюджету Мегрегского сельского поселения на осуществление первичного воинского учета на территориях, где отсутствуют военные комиссариаты –215,30 тыс. рублей (расчет на 0,4 ставки).</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субвенция  на осуществление государственных полномочий Республики Карелия по созданию и обеспечению деятельности административных комиссией и определению перечня должностных лиц, уполномоченных составлять протоколы об административных правонарушениях – 2,0 тыс. рублей.</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32"/>
          <w:szCs w:val="32"/>
        </w:rPr>
        <w:t xml:space="preserve">Расходы бюджета на 2025 год </w:t>
      </w: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709"/>
        <w:jc w:val="center"/>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Особенности формирования расходов бюджета на 2025 год</w:t>
      </w:r>
    </w:p>
    <w:p w:rsidR="006D5A0B" w:rsidRPr="006D5A0B" w:rsidRDefault="006D5A0B" w:rsidP="006D5A0B">
      <w:pPr>
        <w:spacing w:line="240" w:lineRule="auto"/>
        <w:ind w:firstLine="709"/>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709"/>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xml:space="preserve">   </w:t>
      </w:r>
      <w:proofErr w:type="gramStart"/>
      <w:r w:rsidRPr="006D5A0B">
        <w:rPr>
          <w:rFonts w:ascii="Calibri" w:eastAsia="Times New Roman" w:hAnsi="Calibri" w:cs="Calibri"/>
          <w:color w:val="000000"/>
          <w:sz w:val="28"/>
          <w:szCs w:val="28"/>
        </w:rPr>
        <w:t xml:space="preserve">Расходная часть бюджета Мегрегского сельского поселения формировалась в соответствии с главой 10 Бюджетного кодекса РФ «Общие положения о расходах бюджетов»  </w:t>
      </w:r>
      <w:r w:rsidRPr="006D5A0B">
        <w:rPr>
          <w:rFonts w:ascii="Calibri" w:eastAsia="Times New Roman" w:hAnsi="Calibri" w:cs="Calibri"/>
          <w:color w:val="FF6600"/>
          <w:sz w:val="28"/>
          <w:szCs w:val="28"/>
        </w:rPr>
        <w:t> </w:t>
      </w:r>
      <w:r w:rsidRPr="006D5A0B">
        <w:rPr>
          <w:rFonts w:ascii="Calibri" w:eastAsia="Times New Roman" w:hAnsi="Calibri" w:cs="Calibri"/>
          <w:color w:val="000000"/>
          <w:sz w:val="28"/>
          <w:szCs w:val="28"/>
        </w:rPr>
        <w:t xml:space="preserve">в разрезе переданных полномочий в соответствии с Федеральным законом Российской Федерации от 6 октября 2003 года № 131-ФЗ «Об общих принципах организации местного самоуправления в Российской Федерации», Уставом  Мегрегского сельского </w:t>
      </w:r>
      <w:r w:rsidRPr="006D5A0B">
        <w:rPr>
          <w:rFonts w:ascii="Calibri" w:eastAsia="Times New Roman" w:hAnsi="Calibri" w:cs="Calibri"/>
          <w:color w:val="000000"/>
          <w:sz w:val="28"/>
          <w:szCs w:val="28"/>
        </w:rPr>
        <w:lastRenderedPageBreak/>
        <w:t>поселения, иными нормативными правовыми актами Республики Карелия, Совета и администрации Мегрегского</w:t>
      </w:r>
      <w:proofErr w:type="gramEnd"/>
      <w:r w:rsidRPr="006D5A0B">
        <w:rPr>
          <w:rFonts w:ascii="Calibri" w:eastAsia="Times New Roman" w:hAnsi="Calibri" w:cs="Calibri"/>
          <w:color w:val="000000"/>
          <w:sz w:val="28"/>
          <w:szCs w:val="28"/>
        </w:rPr>
        <w:t xml:space="preserve"> сельского поселения.</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708"/>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Общий объем расходов бюджета Мегрегского сельского поселения на 2025 год составил 5 234,80 тыс. руб.</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Структура расходной части  бюджета на 2025 год характеризуется по разделам следующими данными:</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Calibri" w:eastAsia="Times New Roman" w:hAnsi="Calibri" w:cs="Calibri"/>
          <w:b/>
          <w:bCs/>
          <w:color w:val="000000"/>
          <w:sz w:val="28"/>
          <w:szCs w:val="28"/>
        </w:rPr>
        <w:t>Раздел 01 «Общегосударственные вопросы»</w:t>
      </w:r>
      <w:r w:rsidRPr="006D5A0B">
        <w:rPr>
          <w:rFonts w:ascii="Calibri" w:eastAsia="Times New Roman" w:hAnsi="Calibri" w:cs="Calibri"/>
          <w:color w:val="000000"/>
          <w:sz w:val="28"/>
          <w:szCs w:val="28"/>
        </w:rPr>
        <w:t> </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widowControl w:val="0"/>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В проекте бюджета на 2025 год по разделу «Общегосударственные вопросы» предусмотрены бюджетные ассигнования в сумме   1 905,90</w:t>
      </w:r>
      <w:r w:rsidRPr="006D5A0B">
        <w:rPr>
          <w:rFonts w:ascii="Times New Roman" w:eastAsia="Times New Roman" w:hAnsi="Times New Roman" w:cs="Times New Roman"/>
          <w:color w:val="000000"/>
          <w:sz w:val="24"/>
          <w:szCs w:val="24"/>
        </w:rPr>
        <w:t> </w:t>
      </w:r>
      <w:r w:rsidRPr="006D5A0B">
        <w:rPr>
          <w:rFonts w:ascii="Times New Roman" w:eastAsia="Times New Roman" w:hAnsi="Times New Roman" w:cs="Times New Roman"/>
          <w:color w:val="000000"/>
          <w:sz w:val="28"/>
          <w:szCs w:val="28"/>
        </w:rPr>
        <w:t>тыс. руб. – 34% в общей структуре расходов. Расходы бюджета по разделу «Общегосударственные вопросы» распределены по подразделам следующим образом:</w:t>
      </w:r>
    </w:p>
    <w:p w:rsidR="006D5A0B" w:rsidRPr="006D5A0B" w:rsidRDefault="006D5A0B" w:rsidP="006D5A0B">
      <w:pPr>
        <w:widowControl w:val="0"/>
        <w:spacing w:after="0" w:line="240" w:lineRule="auto"/>
        <w:ind w:firstLine="567"/>
        <w:jc w:val="right"/>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Тыс. руб.</w:t>
      </w:r>
    </w:p>
    <w:tbl>
      <w:tblPr>
        <w:tblW w:w="0" w:type="auto"/>
        <w:tblCellSpacing w:w="0" w:type="dxa"/>
        <w:tblInd w:w="93" w:type="dxa"/>
        <w:tblLook w:val="04A0"/>
      </w:tblPr>
      <w:tblGrid>
        <w:gridCol w:w="7720"/>
        <w:gridCol w:w="1798"/>
      </w:tblGrid>
      <w:tr w:rsidR="006D5A0B" w:rsidRPr="006D5A0B" w:rsidTr="006D5A0B">
        <w:trPr>
          <w:trHeight w:val="255"/>
          <w:tblCellSpacing w:w="0" w:type="dxa"/>
        </w:trPr>
        <w:tc>
          <w:tcPr>
            <w:tcW w:w="7798" w:type="dxa"/>
            <w:tcBorders>
              <w:top w:val="single" w:sz="4" w:space="0" w:color="000000"/>
              <w:left w:val="single" w:sz="8"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ОБЩЕГОСУДАРСТВЕННЫЕ ВОПРОСЫ</w:t>
            </w:r>
          </w:p>
        </w:tc>
        <w:tc>
          <w:tcPr>
            <w:tcW w:w="1810" w:type="dxa"/>
            <w:tcBorders>
              <w:top w:val="single" w:sz="4" w:space="0" w:color="000000"/>
              <w:left w:val="single" w:sz="4" w:space="0" w:color="000000"/>
              <w:bottom w:val="single" w:sz="4" w:space="0" w:color="000000"/>
              <w:right w:val="single" w:sz="8" w:space="0" w:color="000000"/>
            </w:tcBorders>
            <w:shd w:val="clear" w:color="auto" w:fill="FFFFFF"/>
            <w:vAlign w:val="center"/>
            <w:hideMark/>
          </w:tcPr>
          <w:p w:rsidR="006D5A0B" w:rsidRPr="006D5A0B" w:rsidRDefault="006D5A0B" w:rsidP="006D5A0B">
            <w:pPr>
              <w:spacing w:line="240" w:lineRule="auto"/>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1 905,90</w:t>
            </w:r>
          </w:p>
        </w:tc>
      </w:tr>
      <w:tr w:rsidR="006D5A0B" w:rsidRPr="006D5A0B" w:rsidTr="006D5A0B">
        <w:trPr>
          <w:trHeight w:val="645"/>
          <w:tblCellSpacing w:w="0" w:type="dxa"/>
        </w:trPr>
        <w:tc>
          <w:tcPr>
            <w:tcW w:w="7798" w:type="dxa"/>
            <w:tcBorders>
              <w:top w:val="single" w:sz="4" w:space="0" w:color="000000"/>
              <w:left w:val="single" w:sz="8"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10" w:type="dxa"/>
            <w:tcBorders>
              <w:top w:val="nil"/>
              <w:left w:val="single" w:sz="4" w:space="0" w:color="000000"/>
              <w:bottom w:val="single" w:sz="4" w:space="0" w:color="000000"/>
              <w:right w:val="single" w:sz="8" w:space="0" w:color="000000"/>
            </w:tcBorders>
            <w:shd w:val="clear" w:color="auto" w:fill="FFFFFF"/>
            <w:vAlign w:val="center"/>
            <w:hideMark/>
          </w:tcPr>
          <w:p w:rsidR="006D5A0B" w:rsidRPr="006D5A0B" w:rsidRDefault="006D5A0B" w:rsidP="006D5A0B">
            <w:pPr>
              <w:spacing w:line="240" w:lineRule="auto"/>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1 341,10</w:t>
            </w:r>
          </w:p>
        </w:tc>
      </w:tr>
      <w:tr w:rsidR="006D5A0B" w:rsidRPr="006D5A0B" w:rsidTr="006D5A0B">
        <w:trPr>
          <w:trHeight w:val="1065"/>
          <w:tblCellSpacing w:w="0" w:type="dxa"/>
        </w:trPr>
        <w:tc>
          <w:tcPr>
            <w:tcW w:w="7798" w:type="dxa"/>
            <w:tcBorders>
              <w:top w:val="single" w:sz="4" w:space="0" w:color="000000"/>
              <w:left w:val="single" w:sz="8"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1810" w:type="dxa"/>
            <w:tcBorders>
              <w:top w:val="nil"/>
              <w:left w:val="single" w:sz="4" w:space="0" w:color="000000"/>
              <w:bottom w:val="single" w:sz="4" w:space="0" w:color="000000"/>
              <w:right w:val="single" w:sz="8" w:space="0" w:color="000000"/>
            </w:tcBorders>
            <w:shd w:val="clear" w:color="auto" w:fill="FFFFFF"/>
            <w:vAlign w:val="center"/>
            <w:hideMark/>
          </w:tcPr>
          <w:p w:rsidR="006D5A0B" w:rsidRPr="006D5A0B" w:rsidRDefault="006D5A0B" w:rsidP="006D5A0B">
            <w:pPr>
              <w:spacing w:line="240" w:lineRule="auto"/>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2,00</w:t>
            </w:r>
          </w:p>
        </w:tc>
      </w:tr>
      <w:tr w:rsidR="006D5A0B" w:rsidRPr="006D5A0B" w:rsidTr="006D5A0B">
        <w:trPr>
          <w:trHeight w:val="645"/>
          <w:tblCellSpacing w:w="0" w:type="dxa"/>
        </w:trPr>
        <w:tc>
          <w:tcPr>
            <w:tcW w:w="7798" w:type="dxa"/>
            <w:tcBorders>
              <w:top w:val="single" w:sz="4" w:space="0" w:color="000000"/>
              <w:left w:val="single" w:sz="8"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810" w:type="dxa"/>
            <w:tcBorders>
              <w:top w:val="nil"/>
              <w:left w:val="single" w:sz="4" w:space="0" w:color="000000"/>
              <w:bottom w:val="single" w:sz="4" w:space="0" w:color="000000"/>
              <w:right w:val="single" w:sz="8" w:space="0" w:color="000000"/>
            </w:tcBorders>
            <w:shd w:val="clear" w:color="auto" w:fill="FFFFFF"/>
            <w:vAlign w:val="center"/>
            <w:hideMark/>
          </w:tcPr>
          <w:p w:rsidR="006D5A0B" w:rsidRPr="006D5A0B" w:rsidRDefault="006D5A0B" w:rsidP="006D5A0B">
            <w:pPr>
              <w:spacing w:line="240" w:lineRule="auto"/>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r>
      <w:tr w:rsidR="006D5A0B" w:rsidRPr="006D5A0B" w:rsidTr="006D5A0B">
        <w:trPr>
          <w:trHeight w:val="255"/>
          <w:tblCellSpacing w:w="0" w:type="dxa"/>
        </w:trPr>
        <w:tc>
          <w:tcPr>
            <w:tcW w:w="7798" w:type="dxa"/>
            <w:tcBorders>
              <w:top w:val="single" w:sz="4" w:space="0" w:color="000000"/>
              <w:left w:val="single" w:sz="8"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Резервные фонды</w:t>
            </w:r>
          </w:p>
        </w:tc>
        <w:tc>
          <w:tcPr>
            <w:tcW w:w="1810" w:type="dxa"/>
            <w:tcBorders>
              <w:top w:val="nil"/>
              <w:left w:val="single" w:sz="4" w:space="0" w:color="000000"/>
              <w:bottom w:val="single" w:sz="4" w:space="0" w:color="000000"/>
              <w:right w:val="single" w:sz="8" w:space="0" w:color="000000"/>
            </w:tcBorders>
            <w:shd w:val="clear" w:color="auto" w:fill="FFFFFF"/>
            <w:vAlign w:val="center"/>
            <w:hideMark/>
          </w:tcPr>
          <w:p w:rsidR="006D5A0B" w:rsidRPr="006D5A0B" w:rsidRDefault="006D5A0B" w:rsidP="006D5A0B">
            <w:pPr>
              <w:spacing w:line="240" w:lineRule="auto"/>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0,00</w:t>
            </w:r>
          </w:p>
        </w:tc>
      </w:tr>
      <w:tr w:rsidR="006D5A0B" w:rsidRPr="006D5A0B" w:rsidTr="006D5A0B">
        <w:trPr>
          <w:trHeight w:val="255"/>
          <w:tblCellSpacing w:w="0" w:type="dxa"/>
        </w:trPr>
        <w:tc>
          <w:tcPr>
            <w:tcW w:w="7798" w:type="dxa"/>
            <w:tcBorders>
              <w:top w:val="single" w:sz="4" w:space="0" w:color="000000"/>
              <w:left w:val="single" w:sz="8" w:space="0" w:color="000000"/>
              <w:bottom w:val="single" w:sz="4" w:space="0" w:color="000000"/>
              <w:right w:val="single" w:sz="4" w:space="0" w:color="000000"/>
            </w:tcBorders>
            <w:shd w:val="clear" w:color="auto" w:fill="FFFFFF"/>
            <w:vAlign w:val="center"/>
            <w:hideMark/>
          </w:tcPr>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Другие общегосударственные вопросы</w:t>
            </w:r>
          </w:p>
        </w:tc>
        <w:tc>
          <w:tcPr>
            <w:tcW w:w="1810" w:type="dxa"/>
            <w:tcBorders>
              <w:top w:val="nil"/>
              <w:left w:val="single" w:sz="4" w:space="0" w:color="000000"/>
              <w:bottom w:val="single" w:sz="4" w:space="0" w:color="000000"/>
              <w:right w:val="single" w:sz="8" w:space="0" w:color="000000"/>
            </w:tcBorders>
            <w:shd w:val="clear" w:color="auto" w:fill="FFFFFF"/>
            <w:vAlign w:val="center"/>
            <w:hideMark/>
          </w:tcPr>
          <w:p w:rsidR="006D5A0B" w:rsidRPr="006D5A0B" w:rsidRDefault="006D5A0B" w:rsidP="006D5A0B">
            <w:pPr>
              <w:spacing w:line="240" w:lineRule="auto"/>
              <w:jc w:val="center"/>
              <w:rPr>
                <w:rFonts w:ascii="Times New Roman" w:eastAsia="Times New Roman" w:hAnsi="Times New Roman" w:cs="Times New Roman"/>
                <w:sz w:val="24"/>
                <w:szCs w:val="24"/>
              </w:rPr>
            </w:pPr>
            <w:r w:rsidRPr="006D5A0B">
              <w:rPr>
                <w:rFonts w:ascii="Calibri" w:eastAsia="Times New Roman" w:hAnsi="Calibri" w:cs="Calibri"/>
                <w:color w:val="000000"/>
                <w:sz w:val="24"/>
                <w:szCs w:val="24"/>
              </w:rPr>
              <w:t>562,80</w:t>
            </w:r>
          </w:p>
        </w:tc>
      </w:tr>
    </w:tbl>
    <w:p w:rsidR="006D5A0B" w:rsidRPr="006D5A0B" w:rsidRDefault="006D5A0B" w:rsidP="006D5A0B">
      <w:pPr>
        <w:widowControl w:val="0"/>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widowControl w:val="0"/>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before="120" w:after="0"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u w:val="single"/>
        </w:rPr>
        <w:t>Подраздел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6D5A0B" w:rsidRPr="006D5A0B" w:rsidRDefault="006D5A0B" w:rsidP="006D5A0B">
      <w:pPr>
        <w:spacing w:before="120" w:after="0" w:line="240" w:lineRule="auto"/>
        <w:ind w:firstLine="709"/>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В данном подразделе предусмотрены средства:</w:t>
      </w:r>
    </w:p>
    <w:p w:rsidR="006D5A0B" w:rsidRPr="006D5A0B" w:rsidRDefault="006D5A0B" w:rsidP="006D5A0B">
      <w:pPr>
        <w:numPr>
          <w:ilvl w:val="0"/>
          <w:numId w:val="1"/>
        </w:numPr>
        <w:tabs>
          <w:tab w:val="left" w:pos="720"/>
        </w:tabs>
        <w:spacing w:before="120" w:after="0" w:line="240" w:lineRule="auto"/>
        <w:ind w:left="1440"/>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xml:space="preserve">На обеспечение деятельности Главы администрации Мегрегского сельского поселения на 2024 год – 672,78 тыс. рублей.  Расходы </w:t>
      </w:r>
      <w:r w:rsidRPr="006D5A0B">
        <w:rPr>
          <w:rFonts w:ascii="Times New Roman" w:eastAsia="Times New Roman" w:hAnsi="Times New Roman" w:cs="Times New Roman"/>
          <w:color w:val="000000"/>
          <w:sz w:val="28"/>
          <w:szCs w:val="28"/>
        </w:rPr>
        <w:lastRenderedPageBreak/>
        <w:t>включают ФОТ с отчислениями (</w:t>
      </w:r>
      <w:proofErr w:type="spellStart"/>
      <w:r w:rsidRPr="006D5A0B">
        <w:rPr>
          <w:rFonts w:ascii="Times New Roman" w:eastAsia="Times New Roman" w:hAnsi="Times New Roman" w:cs="Times New Roman"/>
          <w:color w:val="000000"/>
          <w:sz w:val="28"/>
          <w:szCs w:val="28"/>
        </w:rPr>
        <w:t>з</w:t>
      </w:r>
      <w:proofErr w:type="spellEnd"/>
      <w:r w:rsidRPr="006D5A0B">
        <w:rPr>
          <w:rFonts w:ascii="Times New Roman" w:eastAsia="Times New Roman" w:hAnsi="Times New Roman" w:cs="Times New Roman"/>
          <w:color w:val="000000"/>
          <w:sz w:val="28"/>
          <w:szCs w:val="28"/>
        </w:rPr>
        <w:t>/</w:t>
      </w:r>
      <w:proofErr w:type="spellStart"/>
      <w:proofErr w:type="gramStart"/>
      <w:r w:rsidRPr="006D5A0B">
        <w:rPr>
          <w:rFonts w:ascii="Times New Roman" w:eastAsia="Times New Roman" w:hAnsi="Times New Roman" w:cs="Times New Roman"/>
          <w:color w:val="000000"/>
          <w:sz w:val="28"/>
          <w:szCs w:val="28"/>
        </w:rPr>
        <w:t>п</w:t>
      </w:r>
      <w:proofErr w:type="spellEnd"/>
      <w:proofErr w:type="gramEnd"/>
      <w:r w:rsidRPr="006D5A0B">
        <w:rPr>
          <w:rFonts w:ascii="Times New Roman" w:eastAsia="Times New Roman" w:hAnsi="Times New Roman" w:cs="Times New Roman"/>
          <w:color w:val="000000"/>
          <w:sz w:val="28"/>
          <w:szCs w:val="28"/>
        </w:rPr>
        <w:t xml:space="preserve"> – 510,68 т.р., начисления на </w:t>
      </w:r>
      <w:proofErr w:type="spellStart"/>
      <w:r w:rsidRPr="006D5A0B">
        <w:rPr>
          <w:rFonts w:ascii="Times New Roman" w:eastAsia="Times New Roman" w:hAnsi="Times New Roman" w:cs="Times New Roman"/>
          <w:color w:val="000000"/>
          <w:sz w:val="28"/>
          <w:szCs w:val="28"/>
        </w:rPr>
        <w:t>з</w:t>
      </w:r>
      <w:proofErr w:type="spellEnd"/>
      <w:r w:rsidRPr="006D5A0B">
        <w:rPr>
          <w:rFonts w:ascii="Times New Roman" w:eastAsia="Times New Roman" w:hAnsi="Times New Roman" w:cs="Times New Roman"/>
          <w:color w:val="000000"/>
          <w:sz w:val="28"/>
          <w:szCs w:val="28"/>
        </w:rPr>
        <w:t>/</w:t>
      </w:r>
      <w:proofErr w:type="spellStart"/>
      <w:r w:rsidRPr="006D5A0B">
        <w:rPr>
          <w:rFonts w:ascii="Times New Roman" w:eastAsia="Times New Roman" w:hAnsi="Times New Roman" w:cs="Times New Roman"/>
          <w:color w:val="000000"/>
          <w:sz w:val="28"/>
          <w:szCs w:val="28"/>
        </w:rPr>
        <w:t>п</w:t>
      </w:r>
      <w:proofErr w:type="spellEnd"/>
      <w:r w:rsidRPr="006D5A0B">
        <w:rPr>
          <w:rFonts w:ascii="Times New Roman" w:eastAsia="Times New Roman" w:hAnsi="Times New Roman" w:cs="Times New Roman"/>
          <w:color w:val="000000"/>
          <w:sz w:val="28"/>
          <w:szCs w:val="28"/>
        </w:rPr>
        <w:t xml:space="preserve"> 30,2% - 162,10 т.р.).</w:t>
      </w:r>
    </w:p>
    <w:p w:rsidR="006D5A0B" w:rsidRPr="006D5A0B" w:rsidRDefault="006D5A0B" w:rsidP="006D5A0B">
      <w:pPr>
        <w:numPr>
          <w:ilvl w:val="0"/>
          <w:numId w:val="1"/>
        </w:numPr>
        <w:tabs>
          <w:tab w:val="left" w:pos="720"/>
        </w:tabs>
        <w:spacing w:after="0" w:line="240" w:lineRule="auto"/>
        <w:ind w:left="1440"/>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xml:space="preserve">На обеспечение деятельности Администрации Мегрегского сельского поселения в 2024 году –1194,50 тыс. руб. (ФОТ с отчислениями на 2 </w:t>
      </w:r>
      <w:proofErr w:type="gramStart"/>
      <w:r w:rsidRPr="006D5A0B">
        <w:rPr>
          <w:rFonts w:ascii="Times New Roman" w:eastAsia="Times New Roman" w:hAnsi="Times New Roman" w:cs="Times New Roman"/>
          <w:color w:val="000000"/>
          <w:sz w:val="28"/>
          <w:szCs w:val="28"/>
        </w:rPr>
        <w:t>ставки–специалист</w:t>
      </w:r>
      <w:proofErr w:type="gramEnd"/>
      <w:r w:rsidRPr="006D5A0B">
        <w:rPr>
          <w:rFonts w:ascii="Times New Roman" w:eastAsia="Times New Roman" w:hAnsi="Times New Roman" w:cs="Times New Roman"/>
          <w:color w:val="000000"/>
          <w:sz w:val="28"/>
          <w:szCs w:val="28"/>
        </w:rPr>
        <w:t xml:space="preserve"> и бухгалтер).</w:t>
      </w:r>
    </w:p>
    <w:p w:rsidR="006D5A0B" w:rsidRPr="006D5A0B" w:rsidRDefault="006D5A0B" w:rsidP="006D5A0B">
      <w:pPr>
        <w:numPr>
          <w:ilvl w:val="0"/>
          <w:numId w:val="1"/>
        </w:numPr>
        <w:tabs>
          <w:tab w:val="left" w:pos="720"/>
        </w:tabs>
        <w:spacing w:after="0" w:line="240" w:lineRule="auto"/>
        <w:ind w:left="1440"/>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Иные закупки товаров, работ и услуг для обеспечения государственных (муниципальных) нужд -1 475,00 тыс</w:t>
      </w:r>
      <w:proofErr w:type="gramStart"/>
      <w:r w:rsidRPr="006D5A0B">
        <w:rPr>
          <w:rFonts w:ascii="Calibri" w:eastAsia="Times New Roman" w:hAnsi="Calibri" w:cs="Calibri"/>
          <w:color w:val="000000"/>
          <w:sz w:val="28"/>
          <w:szCs w:val="28"/>
        </w:rPr>
        <w:t>.р</w:t>
      </w:r>
      <w:proofErr w:type="gramEnd"/>
      <w:r w:rsidRPr="006D5A0B">
        <w:rPr>
          <w:rFonts w:ascii="Calibri" w:eastAsia="Times New Roman" w:hAnsi="Calibri" w:cs="Calibri"/>
          <w:color w:val="000000"/>
          <w:sz w:val="28"/>
          <w:szCs w:val="28"/>
        </w:rPr>
        <w:t>уб. - предусматривают расходы в т.ч. на коммунальные услуги – 878,7 тыс. руб. (</w:t>
      </w:r>
      <w:proofErr w:type="spellStart"/>
      <w:r w:rsidRPr="006D5A0B">
        <w:rPr>
          <w:rFonts w:ascii="Calibri" w:eastAsia="Times New Roman" w:hAnsi="Calibri" w:cs="Calibri"/>
          <w:color w:val="000000"/>
          <w:sz w:val="28"/>
          <w:szCs w:val="28"/>
        </w:rPr>
        <w:t>электроотопление</w:t>
      </w:r>
      <w:proofErr w:type="spellEnd"/>
      <w:r w:rsidRPr="006D5A0B">
        <w:rPr>
          <w:rFonts w:ascii="Calibri" w:eastAsia="Times New Roman" w:hAnsi="Calibri" w:cs="Calibri"/>
          <w:color w:val="000000"/>
          <w:sz w:val="28"/>
          <w:szCs w:val="28"/>
        </w:rPr>
        <w:t>, вода, ТБО), услуги связи – 42,0 тыс. руб., прочие – 554,30 тыс. руб.</w:t>
      </w:r>
    </w:p>
    <w:p w:rsidR="006D5A0B" w:rsidRPr="006D5A0B" w:rsidRDefault="006D5A0B" w:rsidP="006D5A0B">
      <w:pPr>
        <w:spacing w:after="0" w:line="240" w:lineRule="auto"/>
        <w:ind w:firstLine="708"/>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708"/>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xml:space="preserve">Расходы на содержание органов местного самоуправления определены согласно предельным нормативам оплаты труда в органах местного самоуправления. </w:t>
      </w:r>
    </w:p>
    <w:p w:rsidR="006D5A0B" w:rsidRPr="006D5A0B" w:rsidRDefault="006D5A0B" w:rsidP="006D5A0B">
      <w:pPr>
        <w:spacing w:after="0" w:line="240" w:lineRule="auto"/>
        <w:ind w:firstLine="708"/>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widowControl w:val="0"/>
        <w:spacing w:after="0"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u w:val="single"/>
        </w:rPr>
        <w:t>Подраздел  «Обеспечение деятельности финансовых органов»</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Бюджетные ассигнования по данному подразделу предусмотрены в сумме 0,00 тыс. руб. на передачу полномочий сельских поселений по формированию  бюджета и организация исполнения данного бюджета, по организации и осуществлению внутреннего муниципального финансового контроля.</w:t>
      </w:r>
    </w:p>
    <w:p w:rsidR="006D5A0B" w:rsidRPr="006D5A0B" w:rsidRDefault="006D5A0B" w:rsidP="006D5A0B">
      <w:pPr>
        <w:spacing w:before="120" w:after="0" w:line="240" w:lineRule="auto"/>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before="120" w:after="0"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before="120" w:after="0"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u w:val="single"/>
        </w:rPr>
        <w:t>Подраздел «Другие общегосударственные вопросы»</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Бюджетные ассигнования по данному подразделу предусмотрены в сумме 1 045,73  тыс. руб. за счет средств местного бюджета.</w:t>
      </w:r>
    </w:p>
    <w:p w:rsidR="006D5A0B" w:rsidRPr="006D5A0B" w:rsidRDefault="006D5A0B" w:rsidP="006D5A0B">
      <w:pPr>
        <w:widowControl w:val="0"/>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xml:space="preserve">В числе основных направлений расходов местного бюджета на  закупку товаров, работ и услуг для обеспечения государственных (муниципальных) нужд по данному разделу предусмотрены средства </w:t>
      </w:r>
      <w:proofErr w:type="gramStart"/>
      <w:r w:rsidRPr="006D5A0B">
        <w:rPr>
          <w:rFonts w:ascii="Times New Roman" w:eastAsia="Times New Roman" w:hAnsi="Times New Roman" w:cs="Times New Roman"/>
          <w:color w:val="000000"/>
          <w:sz w:val="28"/>
          <w:szCs w:val="28"/>
        </w:rPr>
        <w:t>на</w:t>
      </w:r>
      <w:proofErr w:type="gramEnd"/>
      <w:r w:rsidRPr="006D5A0B">
        <w:rPr>
          <w:rFonts w:ascii="Times New Roman" w:eastAsia="Times New Roman" w:hAnsi="Times New Roman" w:cs="Times New Roman"/>
          <w:color w:val="000000"/>
          <w:sz w:val="28"/>
          <w:szCs w:val="28"/>
        </w:rPr>
        <w:t>:</w:t>
      </w: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содержание муниципального имущества – 784,60 тыс. руб.</w:t>
      </w: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услуги по информационно техническому обеспечению  (бухгалтерские программы, 1С, Тензор и др.) – 129,4 тыс. руб.</w:t>
      </w: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прочие (услуги по выполнению работ) – 123,23 тыс. руб.</w:t>
      </w: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Calibri" w:eastAsia="Times New Roman" w:hAnsi="Calibri" w:cs="Calibri"/>
          <w:color w:val="000000"/>
          <w:sz w:val="28"/>
          <w:szCs w:val="28"/>
        </w:rPr>
        <w:t>- прочие (Уплата иных платежей, исполнение судебных актов) – 8,50 тыс. руб.</w:t>
      </w:r>
    </w:p>
    <w:p w:rsidR="006D5A0B" w:rsidRPr="006D5A0B" w:rsidRDefault="006D5A0B" w:rsidP="006D5A0B">
      <w:pPr>
        <w:spacing w:after="0"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Раздел 02 «Национальная оборона»</w:t>
      </w:r>
    </w:p>
    <w:p w:rsidR="006D5A0B" w:rsidRPr="006D5A0B" w:rsidRDefault="006D5A0B" w:rsidP="006D5A0B">
      <w:pPr>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after="0"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ab/>
        <w:t xml:space="preserve">Бюджетные ассигнования по данному подразделу предусмотрены в сумме 215,30 тыс. руб. за счет средств федерального бюджета на обеспечение </w:t>
      </w:r>
      <w:r w:rsidRPr="006D5A0B">
        <w:rPr>
          <w:rFonts w:ascii="Times New Roman" w:eastAsia="Times New Roman" w:hAnsi="Times New Roman" w:cs="Times New Roman"/>
          <w:color w:val="000000"/>
          <w:sz w:val="28"/>
          <w:szCs w:val="28"/>
        </w:rPr>
        <w:lastRenderedPageBreak/>
        <w:t>выполнения переданных федеральных полномочий на осуществление первичного воинского учета на территориях, где отсутствуют военные комиссариаты, что соответствует объему субвенции, предусмотренному проектом  закона  Республики Карелия «О бюджете Республики Карелия  на 2025 год».</w:t>
      </w:r>
    </w:p>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Раздел 03 «Национальная безопасность»</w:t>
      </w:r>
    </w:p>
    <w:p w:rsidR="006D5A0B" w:rsidRPr="006D5A0B" w:rsidRDefault="006D5A0B" w:rsidP="006D5A0B">
      <w:pPr>
        <w:spacing w:line="240" w:lineRule="auto"/>
        <w:ind w:firstLine="900"/>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Бюджетные ассигнования в проекте бюджета сельского поселения планируется направить  на обеспечение первичных мер пожарной безопасности в границах поселения в 2025 году  в сумме 40,00 тыс. рублей. Средства будут направлены на мероприятия по укомплектованию щитов пожарной безопасности и по укомплектованию щитов пожарной безопасности.</w:t>
      </w:r>
    </w:p>
    <w:p w:rsidR="006D5A0B" w:rsidRPr="006D5A0B" w:rsidRDefault="006D5A0B" w:rsidP="006D5A0B">
      <w:pPr>
        <w:tabs>
          <w:tab w:val="left" w:pos="2610"/>
        </w:tabs>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ab/>
      </w:r>
    </w:p>
    <w:p w:rsidR="006D5A0B" w:rsidRPr="006D5A0B" w:rsidRDefault="006D5A0B" w:rsidP="006D5A0B">
      <w:pPr>
        <w:spacing w:line="240" w:lineRule="auto"/>
        <w:jc w:val="both"/>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Раздел 04 «Национальная экономика»</w:t>
      </w: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Бюджетные ассигнования по данному разделу предусмотрены в сумме 2 511,60 тыс. руб.</w:t>
      </w:r>
      <w:r w:rsidRPr="006D5A0B">
        <w:rPr>
          <w:rFonts w:ascii="Times New Roman" w:eastAsia="Times New Roman" w:hAnsi="Times New Roman" w:cs="Times New Roman"/>
          <w:sz w:val="24"/>
          <w:szCs w:val="24"/>
        </w:rPr>
        <w:t> </w:t>
      </w:r>
    </w:p>
    <w:p w:rsidR="006D5A0B" w:rsidRPr="006D5A0B" w:rsidRDefault="006D5A0B" w:rsidP="006D5A0B">
      <w:pPr>
        <w:widowControl w:val="0"/>
        <w:spacing w:after="0"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u w:val="single"/>
        </w:rPr>
        <w:t>Подраздел 0409 «Дорожное хозяйство (дорожные фонды)»</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Бюджетные ассигнования по данному подразделу предусмотрены в сумме  2 511,60 тыс. руб. на проведение мероприятий:</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по содержанию и ремонту дорог поселения 1 491,60 тыс. руб.</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-уличное освещение – 620,00 тыс. руб.</w:t>
      </w:r>
    </w:p>
    <w:p w:rsidR="006D5A0B" w:rsidRDefault="006D5A0B" w:rsidP="006D5A0B">
      <w:pPr>
        <w:spacing w:line="240" w:lineRule="auto"/>
        <w:ind w:firstLine="567"/>
        <w:rPr>
          <w:rFonts w:ascii="Times New Roman" w:eastAsia="Times New Roman" w:hAnsi="Times New Roman" w:cs="Times New Roman"/>
          <w:color w:val="000000"/>
          <w:sz w:val="28"/>
          <w:szCs w:val="28"/>
        </w:rPr>
      </w:pPr>
      <w:r w:rsidRPr="006D5A0B">
        <w:rPr>
          <w:rFonts w:ascii="Times New Roman" w:eastAsia="Times New Roman" w:hAnsi="Times New Roman" w:cs="Times New Roman"/>
          <w:color w:val="000000"/>
          <w:sz w:val="28"/>
          <w:szCs w:val="28"/>
        </w:rPr>
        <w:t xml:space="preserve">- проведение технического учета, паспортизация </w:t>
      </w:r>
      <w:proofErr w:type="gramStart"/>
      <w:r w:rsidRPr="006D5A0B">
        <w:rPr>
          <w:rFonts w:ascii="Times New Roman" w:eastAsia="Times New Roman" w:hAnsi="Times New Roman" w:cs="Times New Roman"/>
          <w:color w:val="000000"/>
          <w:sz w:val="28"/>
          <w:szCs w:val="28"/>
        </w:rPr>
        <w:t>автомобильных</w:t>
      </w:r>
      <w:proofErr w:type="gramEnd"/>
      <w:r w:rsidRPr="006D5A0B">
        <w:rPr>
          <w:rFonts w:ascii="Times New Roman" w:eastAsia="Times New Roman" w:hAnsi="Times New Roman" w:cs="Times New Roman"/>
          <w:color w:val="000000"/>
          <w:sz w:val="28"/>
          <w:szCs w:val="28"/>
        </w:rPr>
        <w:t xml:space="preserve"> дорог-400,00 тыс. руб.</w:t>
      </w:r>
    </w:p>
    <w:p w:rsidR="006D5A0B" w:rsidRPr="006D5A0B" w:rsidRDefault="006D5A0B" w:rsidP="006D5A0B">
      <w:pPr>
        <w:spacing w:line="240" w:lineRule="auto"/>
        <w:ind w:firstLine="567"/>
        <w:rPr>
          <w:rFonts w:ascii="Times New Roman" w:eastAsia="Times New Roman" w:hAnsi="Times New Roman" w:cs="Times New Roman"/>
          <w:sz w:val="24"/>
          <w:szCs w:val="24"/>
        </w:rPr>
      </w:pP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 xml:space="preserve">Раздел 05 «Жилищно-коммунальное хозяйство» </w:t>
      </w: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Основные полномочия в сфере жилищно-коммунального хозяйства относятся к сфере ведения органов местного самоуправления по разделу «Благоустройство», которое включает в себя содержание, ремонт объектов благоустройства. Общий объем бюджетных ассигнований по разделу предусмотрен в сумме   2,00 тыс. руб.</w:t>
      </w:r>
    </w:p>
    <w:p w:rsidR="006D5A0B" w:rsidRPr="006D5A0B" w:rsidRDefault="006D5A0B" w:rsidP="006D5A0B">
      <w:pPr>
        <w:widowControl w:val="0"/>
        <w:spacing w:after="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Бюджетные ассигнования по данному подразделу предусмотрены по следующим направлениям:</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 xml:space="preserve">- мероприятия по благоустройству территории сельского поселения, включающие в себя: уборку и вывоз мусора, косьбу травы, </w:t>
      </w:r>
      <w:r w:rsidRPr="006D5A0B">
        <w:rPr>
          <w:rFonts w:ascii="Times New Roman" w:eastAsia="Times New Roman" w:hAnsi="Times New Roman" w:cs="Times New Roman"/>
          <w:color w:val="000000"/>
          <w:sz w:val="28"/>
          <w:szCs w:val="28"/>
        </w:rPr>
        <w:lastRenderedPageBreak/>
        <w:t>рубку  кустарника, уход за канавами, транспортные услуги, содержание пешеходных мостов и пр. – 2,00 тыс. руб.</w:t>
      </w:r>
    </w:p>
    <w:p w:rsidR="006D5A0B" w:rsidRPr="006D5A0B" w:rsidRDefault="006D5A0B" w:rsidP="006D5A0B">
      <w:pPr>
        <w:spacing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Раздел 08 «Культура. Кинематография» </w:t>
      </w:r>
      <w:r w:rsidRPr="006D5A0B">
        <w:rPr>
          <w:rFonts w:ascii="Times New Roman" w:eastAsia="Times New Roman" w:hAnsi="Times New Roman" w:cs="Times New Roman"/>
          <w:sz w:val="24"/>
          <w:szCs w:val="24"/>
        </w:rPr>
        <w:t>  </w:t>
      </w:r>
    </w:p>
    <w:p w:rsidR="006D5A0B" w:rsidRPr="006D5A0B" w:rsidRDefault="006D5A0B" w:rsidP="006D5A0B">
      <w:pPr>
        <w:tabs>
          <w:tab w:val="left" w:pos="851"/>
          <w:tab w:val="left" w:pos="1134"/>
        </w:tabs>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Бюджетные ассигнования по подразделу 0801 «Культура» предусмотрены в сумме 560,00 тыс. руб. за счет средств местного бюджета по следующим направлениям: финансовое обеспечение выполнения учреждением культуры МБУ №</w:t>
      </w:r>
      <w:proofErr w:type="spellStart"/>
      <w:r w:rsidRPr="006D5A0B">
        <w:rPr>
          <w:rFonts w:ascii="Times New Roman" w:eastAsia="Times New Roman" w:hAnsi="Times New Roman" w:cs="Times New Roman"/>
          <w:color w:val="000000"/>
          <w:sz w:val="28"/>
          <w:szCs w:val="28"/>
        </w:rPr>
        <w:t>Мегрегский</w:t>
      </w:r>
      <w:proofErr w:type="spellEnd"/>
      <w:r w:rsidRPr="006D5A0B">
        <w:rPr>
          <w:rFonts w:ascii="Times New Roman" w:eastAsia="Times New Roman" w:hAnsi="Times New Roman" w:cs="Times New Roman"/>
          <w:color w:val="000000"/>
          <w:sz w:val="28"/>
          <w:szCs w:val="28"/>
        </w:rPr>
        <w:t xml:space="preserve"> сельский Дом Культуры» муниципального задания, проведению мероприятий по сохранению и развитию национальной культуры, физической культуры и спорту.</w:t>
      </w:r>
    </w:p>
    <w:p w:rsidR="006D5A0B" w:rsidRPr="006D5A0B" w:rsidRDefault="006D5A0B" w:rsidP="006D5A0B">
      <w:pPr>
        <w:spacing w:line="240" w:lineRule="auto"/>
        <w:ind w:firstLine="567"/>
        <w:jc w:val="both"/>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before="100" w:after="100" w:line="240" w:lineRule="auto"/>
        <w:ind w:firstLine="567"/>
        <w:jc w:val="center"/>
        <w:rPr>
          <w:rFonts w:ascii="Times New Roman" w:eastAsia="Times New Roman" w:hAnsi="Times New Roman" w:cs="Times New Roman"/>
          <w:sz w:val="24"/>
          <w:szCs w:val="24"/>
        </w:rPr>
      </w:pPr>
      <w:r w:rsidRPr="006D5A0B">
        <w:rPr>
          <w:rFonts w:ascii="Times New Roman" w:eastAsia="Times New Roman" w:hAnsi="Times New Roman" w:cs="Times New Roman"/>
          <w:b/>
          <w:bCs/>
          <w:color w:val="000000"/>
          <w:sz w:val="28"/>
          <w:szCs w:val="28"/>
        </w:rPr>
        <w:t>Источники финансирования дефицита бюджета</w:t>
      </w:r>
    </w:p>
    <w:p w:rsidR="006D5A0B" w:rsidRPr="006D5A0B" w:rsidRDefault="006D5A0B" w:rsidP="006D5A0B">
      <w:pPr>
        <w:spacing w:before="100" w:after="100" w:line="240" w:lineRule="auto"/>
        <w:ind w:firstLine="567"/>
        <w:rPr>
          <w:rFonts w:ascii="Times New Roman" w:eastAsia="Times New Roman" w:hAnsi="Times New Roman" w:cs="Times New Roman"/>
          <w:sz w:val="24"/>
          <w:szCs w:val="24"/>
        </w:rPr>
      </w:pPr>
      <w:r w:rsidRPr="006D5A0B">
        <w:rPr>
          <w:rFonts w:ascii="Times New Roman" w:eastAsia="Times New Roman" w:hAnsi="Times New Roman" w:cs="Times New Roman"/>
          <w:color w:val="000000"/>
          <w:sz w:val="28"/>
          <w:szCs w:val="28"/>
        </w:rPr>
        <w:t>Бюджет  Мегрегского сельского поселения на 2025 год спрогнозирован с дефицитом в сумме 0,0 тыс. рублей</w:t>
      </w:r>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6D5A0B" w:rsidRPr="006D5A0B" w:rsidRDefault="006D5A0B" w:rsidP="006D5A0B">
      <w:pPr>
        <w:spacing w:line="240" w:lineRule="auto"/>
        <w:rPr>
          <w:rFonts w:ascii="Times New Roman" w:eastAsia="Times New Roman" w:hAnsi="Times New Roman" w:cs="Times New Roman"/>
          <w:sz w:val="28"/>
          <w:szCs w:val="28"/>
        </w:rPr>
      </w:pPr>
      <w:r w:rsidRPr="006D5A0B">
        <w:rPr>
          <w:rFonts w:ascii="Times New Roman" w:eastAsia="Times New Roman" w:hAnsi="Times New Roman" w:cs="Times New Roman"/>
          <w:sz w:val="24"/>
          <w:szCs w:val="24"/>
        </w:rPr>
        <w:t> </w:t>
      </w:r>
      <w:r>
        <w:rPr>
          <w:rFonts w:ascii="Times New Roman" w:eastAsia="Times New Roman" w:hAnsi="Times New Roman" w:cs="Times New Roman"/>
          <w:sz w:val="28"/>
          <w:szCs w:val="28"/>
        </w:rPr>
        <w:t xml:space="preserve">И.о. Главы Мегрегского сельского поселения                        А.Н. </w:t>
      </w:r>
      <w:proofErr w:type="spellStart"/>
      <w:r>
        <w:rPr>
          <w:rFonts w:ascii="Times New Roman" w:eastAsia="Times New Roman" w:hAnsi="Times New Roman" w:cs="Times New Roman"/>
          <w:sz w:val="28"/>
          <w:szCs w:val="28"/>
        </w:rPr>
        <w:t>Буслович</w:t>
      </w:r>
      <w:proofErr w:type="spellEnd"/>
    </w:p>
    <w:p w:rsidR="006D5A0B" w:rsidRPr="006D5A0B" w:rsidRDefault="006D5A0B" w:rsidP="006D5A0B">
      <w:pPr>
        <w:spacing w:line="240" w:lineRule="auto"/>
        <w:rPr>
          <w:rFonts w:ascii="Times New Roman" w:eastAsia="Times New Roman" w:hAnsi="Times New Roman" w:cs="Times New Roman"/>
          <w:sz w:val="24"/>
          <w:szCs w:val="24"/>
        </w:rPr>
      </w:pPr>
      <w:r w:rsidRPr="006D5A0B">
        <w:rPr>
          <w:rFonts w:ascii="Times New Roman" w:eastAsia="Times New Roman" w:hAnsi="Times New Roman" w:cs="Times New Roman"/>
          <w:sz w:val="24"/>
          <w:szCs w:val="24"/>
        </w:rPr>
        <w:t> </w:t>
      </w:r>
    </w:p>
    <w:p w:rsidR="00B47F94" w:rsidRPr="006D5A0B" w:rsidRDefault="00B47F94">
      <w:pPr>
        <w:rPr>
          <w:rFonts w:ascii="Times New Roman" w:hAnsi="Times New Roman" w:cs="Times New Roman"/>
        </w:rPr>
      </w:pPr>
    </w:p>
    <w:sectPr w:rsidR="00B47F94" w:rsidRPr="006D5A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5D7047"/>
    <w:multiLevelType w:val="multilevel"/>
    <w:tmpl w:val="4B823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6D5A0B"/>
    <w:rsid w:val="00082C60"/>
    <w:rsid w:val="006D5A0B"/>
    <w:rsid w:val="00B47F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D5A0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5A0B"/>
    <w:rPr>
      <w:rFonts w:ascii="Times New Roman" w:eastAsia="Times New Roman" w:hAnsi="Times New Roman" w:cs="Times New Roman"/>
      <w:b/>
      <w:bCs/>
      <w:kern w:val="36"/>
      <w:sz w:val="48"/>
      <w:szCs w:val="48"/>
    </w:rPr>
  </w:style>
  <w:style w:type="paragraph" w:customStyle="1" w:styleId="docdata">
    <w:name w:val="docdata"/>
    <w:aliases w:val="docy,v5,99149,bqiaagaaeyqcaaagiaiaaapoxgeabfhraqaaaaaaaaaaaaaaaaaaaaaaaaaaaaaaaaaaaaaaaaaaaaaaaaaaaaaaaaaaaaaaaaaaaaaaaaaaaaaaaaaaaaaaaaaaaaaaaaaaaaaaaaaaaaaaaaaaaaaaaaaaaaaaaaaaaaaaaaaaaaaaaaaaaaaaaaaaaaaaaaaaaaaaaaaaaaaaaaaaaaaaaaaaaaaaaaaaaaa"/>
    <w:basedOn w:val="a"/>
    <w:rsid w:val="006D5A0B"/>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6D5A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0440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10</Pages>
  <Words>2370</Words>
  <Characters>13510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2024-11-05T10:02:00Z</cp:lastPrinted>
  <dcterms:created xsi:type="dcterms:W3CDTF">2024-11-05T09:58:00Z</dcterms:created>
  <dcterms:modified xsi:type="dcterms:W3CDTF">2024-11-05T11:11:00Z</dcterms:modified>
</cp:coreProperties>
</file>